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FFC" w:rsidRDefault="00075FFC" w:rsidP="00075FFC">
      <w:pPr>
        <w:rPr>
          <w:sz w:val="24"/>
          <w:szCs w:val="24"/>
        </w:rPr>
      </w:pPr>
      <w:r>
        <w:rPr>
          <w:sz w:val="24"/>
          <w:szCs w:val="24"/>
        </w:rPr>
        <w:t>AOODRAB-2866</w:t>
      </w:r>
      <w:r>
        <w:rPr>
          <w:sz w:val="24"/>
          <w:szCs w:val="24"/>
        </w:rPr>
        <w:t xml:space="preserve"> del 27.4.2015</w:t>
      </w:r>
    </w:p>
    <w:p w:rsidR="00C4014F" w:rsidRDefault="00075FFC" w:rsidP="00075FFC">
      <w:pPr>
        <w:ind w:firstLine="0"/>
      </w:pPr>
      <w:r>
        <w:t xml:space="preserve">                                                                                                                                            </w:t>
      </w:r>
      <w:bookmarkStart w:id="0" w:name="_GoBack"/>
      <w:bookmarkEnd w:id="0"/>
      <w:r w:rsidR="001108C6">
        <w:t>Ai Dirigenti Scolastici</w:t>
      </w:r>
    </w:p>
    <w:p w:rsidR="001108C6" w:rsidRDefault="001108C6" w:rsidP="001108C6">
      <w:pPr>
        <w:jc w:val="right"/>
      </w:pPr>
      <w:r>
        <w:t>Delle scuole Statali e paritarie</w:t>
      </w:r>
    </w:p>
    <w:p w:rsidR="001108C6" w:rsidRDefault="001108C6" w:rsidP="001108C6">
      <w:pPr>
        <w:jc w:val="right"/>
      </w:pPr>
      <w:r>
        <w:t xml:space="preserve">Regione Abruzzo </w:t>
      </w:r>
    </w:p>
    <w:p w:rsidR="001108C6" w:rsidRDefault="001108C6" w:rsidP="001108C6">
      <w:pPr>
        <w:jc w:val="right"/>
      </w:pPr>
      <w:r>
        <w:t>Loro sedi</w:t>
      </w:r>
    </w:p>
    <w:p w:rsidR="001108C6" w:rsidRDefault="001108C6" w:rsidP="001108C6"/>
    <w:p w:rsidR="001108C6" w:rsidRDefault="001108C6" w:rsidP="00075FFC">
      <w:pPr>
        <w:rPr>
          <w:b/>
        </w:rPr>
      </w:pPr>
      <w:r>
        <w:t xml:space="preserve">Oggetto: </w:t>
      </w:r>
      <w:r w:rsidRPr="001108C6">
        <w:rPr>
          <w:b/>
        </w:rPr>
        <w:t xml:space="preserve">RAV: </w:t>
      </w:r>
      <w:r>
        <w:rPr>
          <w:b/>
        </w:rPr>
        <w:t xml:space="preserve">apertura piattaforma operativa – Indicatori per la rilevazione di </w:t>
      </w:r>
      <w:r w:rsidRPr="001108C6">
        <w:rPr>
          <w:b/>
        </w:rPr>
        <w:t>Competenze chiave e di cittadinanza</w:t>
      </w:r>
    </w:p>
    <w:p w:rsidR="001108C6" w:rsidRDefault="001108C6" w:rsidP="005A56EE">
      <w:pPr>
        <w:jc w:val="both"/>
      </w:pPr>
      <w:r>
        <w:t>Co</w:t>
      </w:r>
      <w:r w:rsidR="00DA3FF8">
        <w:t>n</w:t>
      </w:r>
      <w:r>
        <w:t xml:space="preserve"> </w:t>
      </w:r>
      <w:r w:rsidR="008913E4">
        <w:t xml:space="preserve">una prima </w:t>
      </w:r>
      <w:r>
        <w:t>not</w:t>
      </w:r>
      <w:r w:rsidR="00DA3FF8">
        <w:t>a del</w:t>
      </w:r>
      <w:r w:rsidR="008913E4">
        <w:t xml:space="preserve"> 2/03/15</w:t>
      </w:r>
      <w:r>
        <w:t>,</w:t>
      </w:r>
      <w:r w:rsidR="00DA3FF8">
        <w:t xml:space="preserve"> n</w:t>
      </w:r>
      <w:r w:rsidR="008913E4">
        <w:t xml:space="preserve">1738 e con una successiva del 23/04/15, prot.3543,  </w:t>
      </w:r>
      <w:r>
        <w:t>il</w:t>
      </w:r>
      <w:r w:rsidR="00DA3FF8">
        <w:t xml:space="preserve"> </w:t>
      </w:r>
      <w:proofErr w:type="spellStart"/>
      <w:r w:rsidR="00DA3FF8">
        <w:t>Miur</w:t>
      </w:r>
      <w:proofErr w:type="spellEnd"/>
      <w:r w:rsidR="00DA3FF8">
        <w:t xml:space="preserve"> ha comunicato che il  30 aprile 2015, sarà resa operativa la piattaforma  unitaria finalizzata alla realizzazione del primo rapporto di autovalutazione delle scuole.</w:t>
      </w:r>
    </w:p>
    <w:p w:rsidR="00DA3FF8" w:rsidRDefault="00DA3FF8" w:rsidP="005A56EE">
      <w:pPr>
        <w:jc w:val="both"/>
      </w:pPr>
      <w:r>
        <w:t>Per consentirne l’accesso,</w:t>
      </w:r>
      <w:r w:rsidR="008913E4" w:rsidRPr="008913E4">
        <w:t xml:space="preserve"> sarà fornito</w:t>
      </w:r>
      <w:r w:rsidR="008913E4">
        <w:t>,</w:t>
      </w:r>
      <w:r>
        <w:t xml:space="preserve"> a tutte le scuole  un link.</w:t>
      </w:r>
    </w:p>
    <w:p w:rsidR="002B6D9C" w:rsidRDefault="00DA3FF8" w:rsidP="005A56EE">
      <w:pPr>
        <w:jc w:val="both"/>
      </w:pPr>
      <w:r>
        <w:t>La struttura del documento, ormai conosciuta da tutte le istituzioni scolastiche, prevede indicatori</w:t>
      </w:r>
      <w:r w:rsidR="002B6D9C">
        <w:t xml:space="preserve"> e descrittori  per le diverse aree di indagine. Detti  i</w:t>
      </w:r>
      <w:r w:rsidR="002B6D9C" w:rsidRPr="002B6D9C">
        <w:t xml:space="preserve">ndicatori </w:t>
      </w:r>
      <w:r w:rsidR="00A26958">
        <w:t xml:space="preserve">rispondono alla finalità di  </w:t>
      </w:r>
      <w:r w:rsidR="002B6D9C">
        <w:t>guid</w:t>
      </w:r>
      <w:r w:rsidR="00A26958">
        <w:t>a</w:t>
      </w:r>
      <w:r w:rsidR="002B6D9C">
        <w:t>r</w:t>
      </w:r>
      <w:r w:rsidR="00A26958">
        <w:t>e</w:t>
      </w:r>
      <w:r w:rsidR="002B6D9C">
        <w:t xml:space="preserve"> le scuole nel reperimento dei dati da analizzare e, per la maggior parte, sono già espressi sul documento, tranne quelli inerenti le competenze chiave e di cittadinanza.</w:t>
      </w:r>
    </w:p>
    <w:p w:rsidR="00A26958" w:rsidRDefault="002B6D9C" w:rsidP="005A56EE">
      <w:pPr>
        <w:jc w:val="both"/>
      </w:pPr>
      <w:r>
        <w:t>Queste ultime</w:t>
      </w:r>
      <w:r w:rsidR="00A26958">
        <w:t xml:space="preserve">, </w:t>
      </w:r>
      <w:r>
        <w:t>comprese nell’area degli esiti</w:t>
      </w:r>
      <w:r w:rsidR="00A26958">
        <w:t xml:space="preserve">, insieme ai risultati relativi al successo scolastico, alle prove standardizzate nazionali e ai risultati a distanza, contribuiscono a fornire il quadro dell’efficacia scolastica dal punto di vista formativo. </w:t>
      </w:r>
    </w:p>
    <w:p w:rsidR="00DA3FF8" w:rsidRDefault="00A26958" w:rsidP="005A56EE">
      <w:pPr>
        <w:jc w:val="both"/>
      </w:pPr>
      <w:r>
        <w:t>Oltre alle  competenze chiave</w:t>
      </w:r>
      <w:r w:rsidRPr="00A26958">
        <w:t xml:space="preserve">, </w:t>
      </w:r>
      <w:r>
        <w:t xml:space="preserve">vanno considerate </w:t>
      </w:r>
      <w:r w:rsidRPr="00A26958">
        <w:t xml:space="preserve">anche </w:t>
      </w:r>
      <w:r>
        <w:t xml:space="preserve">quelle </w:t>
      </w:r>
      <w:r w:rsidRPr="00A26958">
        <w:t>di natura trasversale,</w:t>
      </w:r>
      <w:r>
        <w:t xml:space="preserve"> come le </w:t>
      </w:r>
      <w:r w:rsidRPr="00A26958">
        <w:t xml:space="preserve"> sociali e civiche</w:t>
      </w:r>
      <w:r>
        <w:t>, quel</w:t>
      </w:r>
      <w:r w:rsidRPr="00A26958">
        <w:t>le personali legate alla capacità di orientarsi e di agire efficacemente nelle diverse situazioni</w:t>
      </w:r>
      <w:r>
        <w:t xml:space="preserve"> e </w:t>
      </w:r>
      <w:r w:rsidRPr="00A26958">
        <w:t xml:space="preserve"> la capacità degli studenti di autoregolarsi nella gestione dei compiti scolastici e dello studio.</w:t>
      </w:r>
    </w:p>
    <w:p w:rsidR="00A26958" w:rsidRDefault="00A26958" w:rsidP="005A56EE">
      <w:pPr>
        <w:jc w:val="both"/>
      </w:pPr>
      <w:r>
        <w:t xml:space="preserve">L’individuazione di indicatori e descrittori ad esse relativi, è rimessa alle istituzioni scolastiche </w:t>
      </w:r>
      <w:r w:rsidR="00954026">
        <w:t xml:space="preserve">perché è strettamente collegata con i percorsi </w:t>
      </w:r>
      <w:r w:rsidR="00B31095">
        <w:t xml:space="preserve">formativi messi in </w:t>
      </w:r>
      <w:r w:rsidR="00954026">
        <w:t xml:space="preserve"> att</w:t>
      </w:r>
      <w:r w:rsidR="00B31095">
        <w:t>o</w:t>
      </w:r>
      <w:r w:rsidR="00954026">
        <w:t>.</w:t>
      </w:r>
    </w:p>
    <w:p w:rsidR="00B31095" w:rsidRDefault="00954026" w:rsidP="005A56EE">
      <w:pPr>
        <w:jc w:val="both"/>
      </w:pPr>
      <w:r>
        <w:t xml:space="preserve">Il Gruppo di supporto regionale ha valutato l’eventualità di </w:t>
      </w:r>
      <w:r w:rsidR="008913E4">
        <w:t xml:space="preserve">affiancare </w:t>
      </w:r>
      <w:r>
        <w:t xml:space="preserve">le scuole nella loro definizione quali indicatori di risultato, ma ha ritenuto che, in caso di loro utilizzo, ciò avrebbe potuto  comportare una non corrispondenza tra l’agito e il dichiarato. </w:t>
      </w:r>
    </w:p>
    <w:p w:rsidR="00954026" w:rsidRDefault="00954026" w:rsidP="005A56EE">
      <w:pPr>
        <w:jc w:val="both"/>
      </w:pPr>
      <w:r>
        <w:t xml:space="preserve">Esso ha pertanto, elaborato degli indicatori sempre inerenti le competenze, </w:t>
      </w:r>
      <w:r w:rsidR="00394FFE">
        <w:t xml:space="preserve">ma </w:t>
      </w:r>
      <w:r>
        <w:t>inquadrabili nella categoria dei processi</w:t>
      </w:r>
      <w:r w:rsidR="00394FFE">
        <w:t xml:space="preserve"> </w:t>
      </w:r>
      <w:r w:rsidR="00B31095">
        <w:t>ch</w:t>
      </w:r>
      <w:r w:rsidR="00394FFE">
        <w:t>e sono riportati nel seguente prospetto:</w:t>
      </w:r>
    </w:p>
    <w:p w:rsidR="00394FFE" w:rsidRDefault="00394FFE" w:rsidP="001108C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84"/>
        <w:gridCol w:w="3284"/>
        <w:gridCol w:w="3286"/>
      </w:tblGrid>
      <w:tr w:rsidR="00394FFE" w:rsidTr="00394FFE">
        <w:tc>
          <w:tcPr>
            <w:tcW w:w="1666" w:type="pct"/>
          </w:tcPr>
          <w:p w:rsidR="00394FFE" w:rsidRPr="00394FFE" w:rsidRDefault="00394FFE" w:rsidP="00394FFE">
            <w:pPr>
              <w:ind w:firstLine="0"/>
              <w:jc w:val="center"/>
              <w:rPr>
                <w:b/>
              </w:rPr>
            </w:pPr>
            <w:r w:rsidRPr="00394FFE">
              <w:rPr>
                <w:b/>
              </w:rPr>
              <w:t>Indicatori</w:t>
            </w:r>
          </w:p>
        </w:tc>
        <w:tc>
          <w:tcPr>
            <w:tcW w:w="1666" w:type="pct"/>
          </w:tcPr>
          <w:p w:rsidR="00394FFE" w:rsidRPr="00394FFE" w:rsidRDefault="00394FFE" w:rsidP="00394FFE">
            <w:pPr>
              <w:ind w:firstLine="0"/>
              <w:jc w:val="center"/>
              <w:rPr>
                <w:b/>
              </w:rPr>
            </w:pPr>
            <w:r w:rsidRPr="00394FFE">
              <w:rPr>
                <w:b/>
              </w:rPr>
              <w:t>Descrittori</w:t>
            </w:r>
          </w:p>
        </w:tc>
        <w:tc>
          <w:tcPr>
            <w:tcW w:w="1667" w:type="pct"/>
          </w:tcPr>
          <w:p w:rsidR="00394FFE" w:rsidRPr="00394FFE" w:rsidRDefault="00394FFE" w:rsidP="00394FFE">
            <w:pPr>
              <w:ind w:firstLine="0"/>
              <w:jc w:val="center"/>
              <w:rPr>
                <w:b/>
              </w:rPr>
            </w:pPr>
            <w:r w:rsidRPr="00394FFE">
              <w:rPr>
                <w:b/>
              </w:rPr>
              <w:t>Fonti</w:t>
            </w:r>
          </w:p>
        </w:tc>
      </w:tr>
      <w:tr w:rsidR="00394FFE" w:rsidTr="00394FFE">
        <w:tc>
          <w:tcPr>
            <w:tcW w:w="1666" w:type="pct"/>
          </w:tcPr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>
              <w:t>Presenza di progettazione relativa</w:t>
            </w:r>
            <w:r w:rsidR="00B31095">
              <w:t xml:space="preserve"> alle competenze</w:t>
            </w:r>
          </w:p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>
              <w:t>Adozione di strumenti di valutazione</w:t>
            </w:r>
            <w:r w:rsidR="00B31095">
              <w:t xml:space="preserve"> pertinenti</w:t>
            </w:r>
          </w:p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>
              <w:t xml:space="preserve">Adozione di criteri comuni di valutazione per l’assegnazione </w:t>
            </w:r>
            <w:r w:rsidR="00B31095">
              <w:t>d</w:t>
            </w:r>
            <w:r>
              <w:t>el voto di comportamento</w:t>
            </w:r>
          </w:p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>
              <w:t>Rilevazione dei livelli delle competenze chiave e di cittadinanza</w:t>
            </w:r>
          </w:p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>
              <w:t>Rilevazione delle differenze tra classi, sezioni, plessi, indirizzi o ordini di scuola</w:t>
            </w:r>
          </w:p>
        </w:tc>
        <w:tc>
          <w:tcPr>
            <w:tcW w:w="1666" w:type="pct"/>
          </w:tcPr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 w:rsidRPr="00394FFE">
              <w:t>Progettazione d’istituto, per dipartimenti, per classi parallele,…</w:t>
            </w:r>
          </w:p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 w:rsidRPr="00394FFE">
              <w:t>Strumenti di valutazione per dipartimenti, per classi parallele, per consigli di classe,…</w:t>
            </w:r>
          </w:p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>
              <w:t>Criteri comuni per la valutazione delle competenze chiave</w:t>
            </w:r>
          </w:p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>
              <w:t>Criteri comuni per la valutazione delle competenze di cittadinanza</w:t>
            </w:r>
          </w:p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 w:rsidRPr="00394FFE">
              <w:t>Differenza di livelli di competenza tra</w:t>
            </w:r>
            <w:r w:rsidR="00B31095">
              <w:t xml:space="preserve"> classi, sezioni, corsi, plessi</w:t>
            </w:r>
            <w:r w:rsidRPr="00394FFE">
              <w:t>….</w:t>
            </w:r>
          </w:p>
        </w:tc>
        <w:tc>
          <w:tcPr>
            <w:tcW w:w="1667" w:type="pct"/>
          </w:tcPr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>
              <w:t>Procedure adottate per certificazione delle competenze</w:t>
            </w:r>
          </w:p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>
              <w:t>Elementi considerati per valutazione comportamenti</w:t>
            </w:r>
          </w:p>
          <w:p w:rsidR="00394FFE" w:rsidRDefault="00394FFE" w:rsidP="00394FFE">
            <w:pPr>
              <w:pStyle w:val="Paragrafoelenco"/>
              <w:numPr>
                <w:ilvl w:val="0"/>
                <w:numId w:val="1"/>
              </w:numPr>
            </w:pPr>
            <w:r>
              <w:t>Osservazione qualità di processi, quali: partecipazione attiva, livello di collaborazione, grado di autonomia, senso di responsabilità</w:t>
            </w:r>
          </w:p>
        </w:tc>
      </w:tr>
    </w:tbl>
    <w:p w:rsidR="00394FFE" w:rsidRDefault="00394FFE" w:rsidP="001108C6"/>
    <w:p w:rsidR="00394FFE" w:rsidRDefault="00B31095" w:rsidP="001108C6">
      <w:r>
        <w:t xml:space="preserve">Le istituzioni scolastiche possono  discrezionalmente  decidere se avvalersi degli  esempi su riportati oppure individuarne di propri, in linea con il lavoro svolto. </w:t>
      </w:r>
    </w:p>
    <w:p w:rsidR="008913E4" w:rsidRDefault="008913E4" w:rsidP="001108C6">
      <w:r>
        <w:t>Nel ringraziare per la partecipazione finora dimostrata, si resta a disposizione per qualsiasi necessità.</w:t>
      </w:r>
    </w:p>
    <w:p w:rsidR="005A56EE" w:rsidRDefault="005A56EE" w:rsidP="005A56EE">
      <w:pPr>
        <w:jc w:val="right"/>
      </w:pPr>
    </w:p>
    <w:p w:rsidR="008913E4" w:rsidRDefault="005A56EE" w:rsidP="005A56EE">
      <w:pPr>
        <w:jc w:val="center"/>
      </w:pPr>
      <w:r>
        <w:t xml:space="preserve">                                                                 </w:t>
      </w:r>
      <w:r w:rsidR="00075FFC">
        <w:t>f.to</w:t>
      </w:r>
      <w:r>
        <w:t xml:space="preserve">    Il Dirigente tecnico</w:t>
      </w:r>
    </w:p>
    <w:p w:rsidR="005A56EE" w:rsidRDefault="005A56EE" w:rsidP="005A56EE">
      <w:pPr>
        <w:jc w:val="center"/>
      </w:pPr>
      <w:r>
        <w:t xml:space="preserve">                                                                    Maria Cristina De Nicola</w:t>
      </w:r>
    </w:p>
    <w:p w:rsidR="00954026" w:rsidRPr="00A356D1" w:rsidRDefault="00954026" w:rsidP="001108C6"/>
    <w:sectPr w:rsidR="00954026" w:rsidRPr="00A356D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4AF" w:rsidRDefault="006C74AF" w:rsidP="00D608BB">
      <w:r>
        <w:separator/>
      </w:r>
    </w:p>
  </w:endnote>
  <w:endnote w:type="continuationSeparator" w:id="0">
    <w:p w:rsidR="006C74AF" w:rsidRDefault="006C74AF" w:rsidP="00D6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</w:p>
  <w:p w:rsidR="00D608BB" w:rsidRDefault="003B57DD" w:rsidP="003B57DD">
    <w:pPr>
      <w:keepNext/>
      <w:autoSpaceDE w:val="0"/>
      <w:autoSpaceDN w:val="0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                                                                    </w:t>
    </w:r>
    <w:r w:rsid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Dirigente Tecnico dott.ssa Maria Cristina De Nicola</w:t>
    </w:r>
  </w:p>
  <w:p w:rsidR="00D608BB" w:rsidRP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Via Ulisse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Nurzia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–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Loc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. Boschetto di  Pile – L’Aquila</w:t>
    </w:r>
  </w:p>
  <w:p w:rsidR="00D608BB" w:rsidRDefault="00D608BB" w:rsidP="00D608BB">
    <w:pPr>
      <w:pStyle w:val="Pidipagina"/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                                                                </w:t>
    </w: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e-mail: </w:t>
    </w:r>
    <w:hyperlink r:id="rId1" w:history="1">
      <w:r w:rsidRPr="007C37D8">
        <w:rPr>
          <w:rStyle w:val="Collegamentoipertestuale"/>
          <w:rFonts w:ascii="Times New Roman" w:eastAsia="Times New Roman" w:hAnsi="Times New Roman" w:cs="Times New Roman"/>
          <w:sz w:val="16"/>
          <w:szCs w:val="16"/>
          <w:lang w:eastAsia="it-IT"/>
        </w:rPr>
        <w:t>mariacristina.denicola1@istruzione.it</w:t>
      </w:r>
    </w:hyperlink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tel. 0862 574246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4AF" w:rsidRDefault="006C74AF" w:rsidP="00D608BB">
      <w:r>
        <w:separator/>
      </w:r>
    </w:p>
  </w:footnote>
  <w:footnote w:type="continuationSeparator" w:id="0">
    <w:p w:rsidR="006C74AF" w:rsidRDefault="006C74AF" w:rsidP="00D6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48"/>
        <w:szCs w:val="48"/>
        <w:lang w:eastAsia="it-IT"/>
      </w:rPr>
    </w:pPr>
    <w:r>
      <w:rPr>
        <w:noProof/>
        <w:lang w:eastAsia="it-IT"/>
      </w:rPr>
      <w:drawing>
        <wp:inline distT="0" distB="0" distL="0" distR="0" wp14:anchorId="43072A0B" wp14:editId="04E4BB3F">
          <wp:extent cx="447675" cy="466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08BB" w:rsidRP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>Ministero dell’Istruzione, dell’Università e della Ricerca</w:t>
    </w:r>
  </w:p>
  <w:p w:rsidR="00D608BB" w:rsidRP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 xml:space="preserve">Ufficio Scolastico Regionale per l’Abruzzo </w:t>
    </w:r>
  </w:p>
  <w:p w:rsidR="00D608BB" w:rsidRDefault="00D608BB" w:rsidP="00D608B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A0DD4"/>
    <w:multiLevelType w:val="hybridMultilevel"/>
    <w:tmpl w:val="00CCFF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BB"/>
    <w:rsid w:val="00011420"/>
    <w:rsid w:val="00014781"/>
    <w:rsid w:val="00026005"/>
    <w:rsid w:val="00030720"/>
    <w:rsid w:val="0003719D"/>
    <w:rsid w:val="00045D70"/>
    <w:rsid w:val="00063801"/>
    <w:rsid w:val="00065E7A"/>
    <w:rsid w:val="00075023"/>
    <w:rsid w:val="00075FFC"/>
    <w:rsid w:val="00081049"/>
    <w:rsid w:val="00081E63"/>
    <w:rsid w:val="00091AC8"/>
    <w:rsid w:val="000D06A2"/>
    <w:rsid w:val="000F1100"/>
    <w:rsid w:val="000F1BE3"/>
    <w:rsid w:val="000F512B"/>
    <w:rsid w:val="00101C92"/>
    <w:rsid w:val="0010345B"/>
    <w:rsid w:val="001055F5"/>
    <w:rsid w:val="001108C6"/>
    <w:rsid w:val="00121581"/>
    <w:rsid w:val="0013228B"/>
    <w:rsid w:val="00142A41"/>
    <w:rsid w:val="0017482A"/>
    <w:rsid w:val="00196E03"/>
    <w:rsid w:val="001A5116"/>
    <w:rsid w:val="001A6273"/>
    <w:rsid w:val="001A68EE"/>
    <w:rsid w:val="001C2E1D"/>
    <w:rsid w:val="001D4CA5"/>
    <w:rsid w:val="001D5257"/>
    <w:rsid w:val="001E062E"/>
    <w:rsid w:val="001E13E4"/>
    <w:rsid w:val="001F2CBE"/>
    <w:rsid w:val="001F7931"/>
    <w:rsid w:val="002105BD"/>
    <w:rsid w:val="00211A37"/>
    <w:rsid w:val="00212232"/>
    <w:rsid w:val="0022239B"/>
    <w:rsid w:val="002255A5"/>
    <w:rsid w:val="00231DB1"/>
    <w:rsid w:val="002359FE"/>
    <w:rsid w:val="002454D4"/>
    <w:rsid w:val="00256301"/>
    <w:rsid w:val="002629A1"/>
    <w:rsid w:val="002943E2"/>
    <w:rsid w:val="002A3C51"/>
    <w:rsid w:val="002B03DF"/>
    <w:rsid w:val="002B624C"/>
    <w:rsid w:val="002B6D9C"/>
    <w:rsid w:val="002D06EF"/>
    <w:rsid w:val="002E7A91"/>
    <w:rsid w:val="00300165"/>
    <w:rsid w:val="00310853"/>
    <w:rsid w:val="00323324"/>
    <w:rsid w:val="00326DD8"/>
    <w:rsid w:val="00333D0D"/>
    <w:rsid w:val="00377CE7"/>
    <w:rsid w:val="00381618"/>
    <w:rsid w:val="00394FFE"/>
    <w:rsid w:val="00396689"/>
    <w:rsid w:val="003A1122"/>
    <w:rsid w:val="003A1BA6"/>
    <w:rsid w:val="003B296F"/>
    <w:rsid w:val="003B57DD"/>
    <w:rsid w:val="003E22C8"/>
    <w:rsid w:val="00400CDB"/>
    <w:rsid w:val="00400CDC"/>
    <w:rsid w:val="00412B2E"/>
    <w:rsid w:val="00434EA5"/>
    <w:rsid w:val="0044070B"/>
    <w:rsid w:val="0044094D"/>
    <w:rsid w:val="004446ED"/>
    <w:rsid w:val="00451466"/>
    <w:rsid w:val="00455B19"/>
    <w:rsid w:val="004669C6"/>
    <w:rsid w:val="004776B9"/>
    <w:rsid w:val="00482985"/>
    <w:rsid w:val="00484259"/>
    <w:rsid w:val="0048502E"/>
    <w:rsid w:val="004A4B35"/>
    <w:rsid w:val="004B0F42"/>
    <w:rsid w:val="004D5992"/>
    <w:rsid w:val="004E6A71"/>
    <w:rsid w:val="00500434"/>
    <w:rsid w:val="005022DA"/>
    <w:rsid w:val="00511A50"/>
    <w:rsid w:val="005215A6"/>
    <w:rsid w:val="00523F76"/>
    <w:rsid w:val="00534484"/>
    <w:rsid w:val="0053530E"/>
    <w:rsid w:val="00552F84"/>
    <w:rsid w:val="00553BF5"/>
    <w:rsid w:val="00554592"/>
    <w:rsid w:val="00555FF0"/>
    <w:rsid w:val="00572F8D"/>
    <w:rsid w:val="00583CF3"/>
    <w:rsid w:val="005845F7"/>
    <w:rsid w:val="00592F4C"/>
    <w:rsid w:val="005A56EE"/>
    <w:rsid w:val="005B57ED"/>
    <w:rsid w:val="005B7CFC"/>
    <w:rsid w:val="005C7E18"/>
    <w:rsid w:val="005D459D"/>
    <w:rsid w:val="005F1969"/>
    <w:rsid w:val="005F3944"/>
    <w:rsid w:val="005F3F01"/>
    <w:rsid w:val="006036DF"/>
    <w:rsid w:val="006224BA"/>
    <w:rsid w:val="00625E9B"/>
    <w:rsid w:val="006307F0"/>
    <w:rsid w:val="00642F5B"/>
    <w:rsid w:val="006502DA"/>
    <w:rsid w:val="00650A6A"/>
    <w:rsid w:val="00657707"/>
    <w:rsid w:val="00660B37"/>
    <w:rsid w:val="0067053C"/>
    <w:rsid w:val="00680737"/>
    <w:rsid w:val="006A2672"/>
    <w:rsid w:val="006A4676"/>
    <w:rsid w:val="006B31A2"/>
    <w:rsid w:val="006C74AF"/>
    <w:rsid w:val="006D2DA7"/>
    <w:rsid w:val="006F3275"/>
    <w:rsid w:val="007019C7"/>
    <w:rsid w:val="00702793"/>
    <w:rsid w:val="00703DA5"/>
    <w:rsid w:val="00704A22"/>
    <w:rsid w:val="00704E74"/>
    <w:rsid w:val="00711CBD"/>
    <w:rsid w:val="00721A8C"/>
    <w:rsid w:val="00731456"/>
    <w:rsid w:val="00737AA9"/>
    <w:rsid w:val="00743D9F"/>
    <w:rsid w:val="0075657D"/>
    <w:rsid w:val="007612AD"/>
    <w:rsid w:val="007674C6"/>
    <w:rsid w:val="0077245E"/>
    <w:rsid w:val="007776A7"/>
    <w:rsid w:val="00787AC8"/>
    <w:rsid w:val="007A063C"/>
    <w:rsid w:val="007A07EB"/>
    <w:rsid w:val="007A0F75"/>
    <w:rsid w:val="007A48D4"/>
    <w:rsid w:val="007A5678"/>
    <w:rsid w:val="007B0A44"/>
    <w:rsid w:val="007B0CFD"/>
    <w:rsid w:val="007C3310"/>
    <w:rsid w:val="007C5013"/>
    <w:rsid w:val="007D01D3"/>
    <w:rsid w:val="007D7EFE"/>
    <w:rsid w:val="007F4228"/>
    <w:rsid w:val="007F647B"/>
    <w:rsid w:val="00800759"/>
    <w:rsid w:val="00804BD2"/>
    <w:rsid w:val="008120C5"/>
    <w:rsid w:val="00813C28"/>
    <w:rsid w:val="00817079"/>
    <w:rsid w:val="00821FEC"/>
    <w:rsid w:val="00822F0C"/>
    <w:rsid w:val="008277D2"/>
    <w:rsid w:val="008334E0"/>
    <w:rsid w:val="00847E6C"/>
    <w:rsid w:val="00853E96"/>
    <w:rsid w:val="008549DF"/>
    <w:rsid w:val="00867E13"/>
    <w:rsid w:val="008757A4"/>
    <w:rsid w:val="0088033F"/>
    <w:rsid w:val="0088152F"/>
    <w:rsid w:val="008823FD"/>
    <w:rsid w:val="008913E4"/>
    <w:rsid w:val="00897EB1"/>
    <w:rsid w:val="008A0858"/>
    <w:rsid w:val="008A292D"/>
    <w:rsid w:val="008B64C6"/>
    <w:rsid w:val="008C1665"/>
    <w:rsid w:val="008C50F6"/>
    <w:rsid w:val="008C70B7"/>
    <w:rsid w:val="008E24B5"/>
    <w:rsid w:val="008E6AFC"/>
    <w:rsid w:val="008F2E8E"/>
    <w:rsid w:val="00922A8D"/>
    <w:rsid w:val="009371BA"/>
    <w:rsid w:val="009450A3"/>
    <w:rsid w:val="00952A21"/>
    <w:rsid w:val="00954026"/>
    <w:rsid w:val="00957597"/>
    <w:rsid w:val="0096326E"/>
    <w:rsid w:val="00986BD4"/>
    <w:rsid w:val="00992258"/>
    <w:rsid w:val="0099661E"/>
    <w:rsid w:val="009A6E95"/>
    <w:rsid w:val="009B0D32"/>
    <w:rsid w:val="009E77A2"/>
    <w:rsid w:val="009F3AFB"/>
    <w:rsid w:val="009F6492"/>
    <w:rsid w:val="00A14FF8"/>
    <w:rsid w:val="00A21574"/>
    <w:rsid w:val="00A26958"/>
    <w:rsid w:val="00A356D1"/>
    <w:rsid w:val="00A54EFF"/>
    <w:rsid w:val="00A56E3C"/>
    <w:rsid w:val="00A62540"/>
    <w:rsid w:val="00A95F18"/>
    <w:rsid w:val="00AA1FD4"/>
    <w:rsid w:val="00AB0449"/>
    <w:rsid w:val="00AC4617"/>
    <w:rsid w:val="00AD2140"/>
    <w:rsid w:val="00AF18DA"/>
    <w:rsid w:val="00AF5F1C"/>
    <w:rsid w:val="00AF727D"/>
    <w:rsid w:val="00B045CD"/>
    <w:rsid w:val="00B054B2"/>
    <w:rsid w:val="00B06560"/>
    <w:rsid w:val="00B13752"/>
    <w:rsid w:val="00B31095"/>
    <w:rsid w:val="00B315DB"/>
    <w:rsid w:val="00B32BC8"/>
    <w:rsid w:val="00B60AEE"/>
    <w:rsid w:val="00B618A5"/>
    <w:rsid w:val="00B81B35"/>
    <w:rsid w:val="00B9689F"/>
    <w:rsid w:val="00B9713A"/>
    <w:rsid w:val="00BB1492"/>
    <w:rsid w:val="00BB1582"/>
    <w:rsid w:val="00BB3E57"/>
    <w:rsid w:val="00BC4FD2"/>
    <w:rsid w:val="00BC61E4"/>
    <w:rsid w:val="00BD00B4"/>
    <w:rsid w:val="00BD06D7"/>
    <w:rsid w:val="00BE2CDA"/>
    <w:rsid w:val="00BE7818"/>
    <w:rsid w:val="00C16262"/>
    <w:rsid w:val="00C20CDE"/>
    <w:rsid w:val="00C2233D"/>
    <w:rsid w:val="00C22F62"/>
    <w:rsid w:val="00C24166"/>
    <w:rsid w:val="00C31D83"/>
    <w:rsid w:val="00C4014F"/>
    <w:rsid w:val="00C41B0B"/>
    <w:rsid w:val="00C500B2"/>
    <w:rsid w:val="00C50C0F"/>
    <w:rsid w:val="00C55AF8"/>
    <w:rsid w:val="00C701CA"/>
    <w:rsid w:val="00C83898"/>
    <w:rsid w:val="00CC2F0D"/>
    <w:rsid w:val="00CD5668"/>
    <w:rsid w:val="00CD7FFC"/>
    <w:rsid w:val="00CF26DA"/>
    <w:rsid w:val="00D0197D"/>
    <w:rsid w:val="00D025D3"/>
    <w:rsid w:val="00D107A6"/>
    <w:rsid w:val="00D13287"/>
    <w:rsid w:val="00D608BB"/>
    <w:rsid w:val="00D7255B"/>
    <w:rsid w:val="00D7551A"/>
    <w:rsid w:val="00D809C7"/>
    <w:rsid w:val="00D92E5E"/>
    <w:rsid w:val="00D96B06"/>
    <w:rsid w:val="00D96BFE"/>
    <w:rsid w:val="00DA12D5"/>
    <w:rsid w:val="00DA3FF8"/>
    <w:rsid w:val="00DB12A7"/>
    <w:rsid w:val="00DB3EFD"/>
    <w:rsid w:val="00DB6CCC"/>
    <w:rsid w:val="00DF170C"/>
    <w:rsid w:val="00DF1A1A"/>
    <w:rsid w:val="00DF3D25"/>
    <w:rsid w:val="00E47661"/>
    <w:rsid w:val="00E6680C"/>
    <w:rsid w:val="00E73283"/>
    <w:rsid w:val="00E750AB"/>
    <w:rsid w:val="00E829D5"/>
    <w:rsid w:val="00E85F47"/>
    <w:rsid w:val="00E87252"/>
    <w:rsid w:val="00EA626B"/>
    <w:rsid w:val="00EA6B7C"/>
    <w:rsid w:val="00EB59F2"/>
    <w:rsid w:val="00EC0CE7"/>
    <w:rsid w:val="00EC2228"/>
    <w:rsid w:val="00ED7EAE"/>
    <w:rsid w:val="00EF031F"/>
    <w:rsid w:val="00F172D7"/>
    <w:rsid w:val="00F370F6"/>
    <w:rsid w:val="00F450B6"/>
    <w:rsid w:val="00F45E08"/>
    <w:rsid w:val="00F5530B"/>
    <w:rsid w:val="00F66B96"/>
    <w:rsid w:val="00F706DC"/>
    <w:rsid w:val="00F712E2"/>
    <w:rsid w:val="00F72146"/>
    <w:rsid w:val="00F84B4F"/>
    <w:rsid w:val="00F86464"/>
    <w:rsid w:val="00F871CB"/>
    <w:rsid w:val="00F87554"/>
    <w:rsid w:val="00F94972"/>
    <w:rsid w:val="00F95B98"/>
    <w:rsid w:val="00F9638B"/>
    <w:rsid w:val="00FA1F45"/>
    <w:rsid w:val="00FC7362"/>
    <w:rsid w:val="00FD1D35"/>
    <w:rsid w:val="00FD2B5C"/>
    <w:rsid w:val="00FE1803"/>
    <w:rsid w:val="00FE2FF1"/>
    <w:rsid w:val="00FE7CFC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394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394FFE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94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394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394FFE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94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acristina.denicola1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cp:lastPrinted>2015-04-27T09:42:00Z</cp:lastPrinted>
  <dcterms:created xsi:type="dcterms:W3CDTF">2015-04-27T09:42:00Z</dcterms:created>
  <dcterms:modified xsi:type="dcterms:W3CDTF">2015-04-27T10:32:00Z</dcterms:modified>
</cp:coreProperties>
</file>